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B54" w:rsidRDefault="00E22B54" w:rsidP="008F2FDA">
      <w:pPr>
        <w:jc w:val="center"/>
        <w:rPr>
          <w:rFonts w:ascii="Arial" w:hAnsi="Arial" w:cs="Arial"/>
          <w:b/>
          <w:sz w:val="24"/>
          <w:szCs w:val="24"/>
        </w:rPr>
      </w:pPr>
    </w:p>
    <w:p w:rsidR="00555DA6" w:rsidRDefault="00555DA6" w:rsidP="00555DA6">
      <w:pPr>
        <w:jc w:val="center"/>
        <w:rPr>
          <w:rFonts w:ascii="Arial" w:hAnsi="Arial" w:cs="Arial"/>
          <w:b/>
          <w:sz w:val="24"/>
          <w:szCs w:val="24"/>
        </w:rPr>
      </w:pPr>
      <w:r w:rsidRPr="00555DA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B602425" wp14:editId="12577BE8">
            <wp:simplePos x="0" y="0"/>
            <wp:positionH relativeFrom="column">
              <wp:posOffset>6131560</wp:posOffset>
            </wp:positionH>
            <wp:positionV relativeFrom="paragraph">
              <wp:posOffset>53975</wp:posOffset>
            </wp:positionV>
            <wp:extent cx="3134995" cy="655320"/>
            <wp:effectExtent l="0" t="0" r="8255" b="0"/>
            <wp:wrapSquare wrapText="bothSides"/>
            <wp:docPr id="3" name="Picture 3" descr="Next 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xt Lin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54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53195D" wp14:editId="5700F913">
                <wp:simplePos x="0" y="0"/>
                <wp:positionH relativeFrom="column">
                  <wp:posOffset>-268827</wp:posOffset>
                </wp:positionH>
                <wp:positionV relativeFrom="paragraph">
                  <wp:posOffset>83787</wp:posOffset>
                </wp:positionV>
                <wp:extent cx="6056416" cy="629392"/>
                <wp:effectExtent l="0" t="0" r="2095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416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AC71" id="Rectangle 2" o:spid="_x0000_s1026" style="position:absolute;margin-left:-21.15pt;margin-top:6.6pt;width:476.9pt;height:4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" strokeweight="1.5pt"/>
            </w:pict>
          </mc:Fallback>
        </mc:AlternateContent>
      </w:r>
    </w:p>
    <w:p w:rsidR="00980A20" w:rsidRPr="00555DA6" w:rsidRDefault="00555DA6" w:rsidP="00555DA6">
      <w:pPr>
        <w:rPr>
          <w:rFonts w:ascii="Arial" w:hAnsi="Arial" w:cs="Arial"/>
          <w:b/>
          <w:sz w:val="24"/>
          <w:szCs w:val="24"/>
        </w:rPr>
      </w:pPr>
      <w:r w:rsidRPr="00555DA6">
        <w:rPr>
          <w:rFonts w:ascii="Arial" w:hAnsi="Arial" w:cs="Arial"/>
          <w:b/>
          <w:noProof/>
          <w:sz w:val="24"/>
          <w:szCs w:val="24"/>
        </w:rPr>
        <w:t>Next Link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80A20" w:rsidRPr="00555DA6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erson</w:t>
      </w:r>
      <w:r w:rsidR="00980A20" w:rsidRPr="00555DA6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pecification</w:t>
      </w:r>
    </w:p>
    <w:p w:rsidR="00980A20" w:rsidRPr="00555DA6" w:rsidRDefault="00555DA6" w:rsidP="008F2FDA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80A20" w:rsidRPr="00555DA6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emale</w:t>
      </w:r>
      <w:r w:rsidR="00980A20" w:rsidRPr="00555DA6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upport Worker</w:t>
      </w:r>
      <w:r w:rsidR="00980A20" w:rsidRPr="00555DA6">
        <w:rPr>
          <w:rFonts w:ascii="Arial" w:hAnsi="Arial" w:cs="Arial"/>
          <w:b/>
          <w:sz w:val="24"/>
          <w:szCs w:val="24"/>
        </w:rPr>
        <w:t xml:space="preserve">: </w:t>
      </w:r>
      <w:r w:rsidR="007E0AE5">
        <w:rPr>
          <w:rFonts w:ascii="Arial" w:hAnsi="Arial" w:cs="Arial"/>
          <w:b/>
          <w:sz w:val="24"/>
          <w:szCs w:val="24"/>
        </w:rPr>
        <w:t>Southmead</w:t>
      </w:r>
      <w:r w:rsidR="00424C46">
        <w:rPr>
          <w:rFonts w:ascii="Arial" w:hAnsi="Arial" w:cs="Arial"/>
          <w:b/>
          <w:sz w:val="24"/>
          <w:szCs w:val="24"/>
        </w:rPr>
        <w:t xml:space="preserve"> &amp; </w:t>
      </w:r>
      <w:bookmarkStart w:id="0" w:name="_GoBack"/>
      <w:bookmarkEnd w:id="0"/>
      <w:r w:rsidR="00721E4B">
        <w:rPr>
          <w:rFonts w:ascii="Arial" w:hAnsi="Arial" w:cs="Arial"/>
          <w:b/>
          <w:sz w:val="24"/>
          <w:szCs w:val="24"/>
        </w:rPr>
        <w:t>BRI</w:t>
      </w:r>
      <w:r w:rsidR="008F2FDA" w:rsidRPr="00555DA6">
        <w:rPr>
          <w:rFonts w:ascii="Arial" w:hAnsi="Arial" w:cs="Arial"/>
          <w:b/>
          <w:sz w:val="24"/>
          <w:szCs w:val="24"/>
        </w:rPr>
        <w:t xml:space="preserve"> </w:t>
      </w:r>
      <w:r w:rsidR="00604947" w:rsidRPr="00555DA6">
        <w:rPr>
          <w:rFonts w:ascii="Arial" w:hAnsi="Arial" w:cs="Arial"/>
          <w:b/>
          <w:sz w:val="24"/>
          <w:szCs w:val="24"/>
        </w:rPr>
        <w:t>Hospital based</w:t>
      </w:r>
      <w:r w:rsidR="008F2FDA" w:rsidRPr="00555DA6">
        <w:rPr>
          <w:rFonts w:ascii="Arial" w:hAnsi="Arial" w:cs="Arial"/>
          <w:b/>
          <w:sz w:val="24"/>
          <w:szCs w:val="24"/>
        </w:rPr>
        <w:t xml:space="preserve"> ID</w:t>
      </w:r>
      <w:r w:rsidR="00604947" w:rsidRPr="00555DA6">
        <w:rPr>
          <w:rFonts w:ascii="Arial" w:hAnsi="Arial" w:cs="Arial"/>
          <w:b/>
          <w:sz w:val="24"/>
          <w:szCs w:val="24"/>
        </w:rPr>
        <w:t>S</w:t>
      </w:r>
      <w:r w:rsidR="008F2FDA" w:rsidRPr="00555DA6">
        <w:rPr>
          <w:rFonts w:ascii="Arial" w:hAnsi="Arial" w:cs="Arial"/>
          <w:b/>
          <w:sz w:val="24"/>
          <w:szCs w:val="24"/>
        </w:rPr>
        <w:t>VA</w:t>
      </w:r>
      <w:r w:rsidR="0062411A" w:rsidRPr="00555DA6">
        <w:rPr>
          <w:rFonts w:ascii="Arial" w:hAnsi="Arial" w:cs="Arial"/>
          <w:b/>
          <w:sz w:val="24"/>
          <w:szCs w:val="24"/>
        </w:rPr>
        <w:t xml:space="preserve"> </w:t>
      </w:r>
    </w:p>
    <w:p w:rsidR="0062411A" w:rsidRDefault="0062411A" w:rsidP="00980A20">
      <w:pPr>
        <w:rPr>
          <w:rFonts w:ascii="Arial" w:hAnsi="Arial" w:cs="Arial"/>
          <w:sz w:val="22"/>
          <w:szCs w:val="22"/>
        </w:rPr>
      </w:pPr>
    </w:p>
    <w:p w:rsidR="00980A20" w:rsidRDefault="00980A20" w:rsidP="00980A20">
      <w:pPr>
        <w:rPr>
          <w:rFonts w:ascii="Arial" w:hAnsi="Arial" w:cs="Arial"/>
          <w:sz w:val="22"/>
          <w:szCs w:val="22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788"/>
        <w:gridCol w:w="4394"/>
      </w:tblGrid>
      <w:tr w:rsidR="00980A20" w:rsidRPr="003F5253" w:rsidTr="008F2FDA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20" w:rsidRPr="00555DA6" w:rsidRDefault="00980A20" w:rsidP="00CF68F6">
            <w:pPr>
              <w:pStyle w:val="TableHead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20" w:rsidRPr="00555DA6" w:rsidRDefault="00980A20" w:rsidP="00CF68F6">
            <w:pPr>
              <w:pStyle w:val="TableHeading"/>
              <w:rPr>
                <w:rFonts w:ascii="Arial" w:hAnsi="Arial" w:cs="Arial"/>
                <w:b/>
                <w:sz w:val="22"/>
                <w:szCs w:val="22"/>
              </w:rPr>
            </w:pPr>
            <w:r w:rsidRPr="00555DA6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20" w:rsidRPr="00555DA6" w:rsidRDefault="00980A20" w:rsidP="00CF68F6">
            <w:pPr>
              <w:pStyle w:val="TableHeading"/>
              <w:rPr>
                <w:rFonts w:ascii="Arial" w:hAnsi="Arial" w:cs="Arial"/>
                <w:b/>
                <w:sz w:val="22"/>
                <w:szCs w:val="22"/>
              </w:rPr>
            </w:pPr>
            <w:r w:rsidRPr="00555DA6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55DA6" w:rsidRPr="003F5253" w:rsidTr="008F2FDA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A6" w:rsidRPr="003F5253" w:rsidRDefault="00555DA6" w:rsidP="00CF68F6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55DA6" w:rsidRPr="003F5253" w:rsidRDefault="00555DA6" w:rsidP="00555DA6">
            <w:pPr>
              <w:pStyle w:val="TableBullet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55DA6" w:rsidRPr="003F5253" w:rsidRDefault="00555DA6" w:rsidP="007559DA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IDVA qualified</w:t>
            </w:r>
          </w:p>
        </w:tc>
      </w:tr>
      <w:tr w:rsidR="00555DA6" w:rsidRPr="003F5253" w:rsidTr="008F2FDA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A6" w:rsidRPr="003F5253" w:rsidRDefault="00555DA6" w:rsidP="00CF68F6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5DA6" w:rsidRDefault="00555DA6" w:rsidP="00033C45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Ability to train professionals on domestic abuse including how to identify victims and refer</w:t>
            </w:r>
          </w:p>
          <w:p w:rsidR="00555DA6" w:rsidRDefault="00555DA6" w:rsidP="00033C45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79073B">
              <w:rPr>
                <w:rFonts w:ascii="Arial" w:hAnsi="Arial" w:cs="Arial"/>
                <w:iCs/>
                <w:sz w:val="22"/>
                <w:szCs w:val="22"/>
              </w:rPr>
              <w:t xml:space="preserve">Strong numeracy, </w:t>
            </w:r>
            <w:r>
              <w:rPr>
                <w:rFonts w:ascii="Arial" w:hAnsi="Arial" w:cs="Arial"/>
                <w:iCs/>
                <w:sz w:val="22"/>
                <w:szCs w:val="22"/>
              </w:rPr>
              <w:t>written communication and organisational skills</w:t>
            </w:r>
          </w:p>
          <w:p w:rsidR="00555DA6" w:rsidRDefault="00555DA6" w:rsidP="00463D9B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63D9B">
              <w:rPr>
                <w:rFonts w:ascii="Arial" w:hAnsi="Arial" w:cs="Arial"/>
                <w:sz w:val="22"/>
                <w:szCs w:val="22"/>
              </w:rPr>
              <w:t>The ability to undertake effective casework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support planning</w:t>
            </w:r>
            <w:r w:rsidRPr="00463D9B">
              <w:rPr>
                <w:rFonts w:ascii="Arial" w:hAnsi="Arial" w:cs="Arial"/>
                <w:sz w:val="22"/>
                <w:szCs w:val="22"/>
              </w:rPr>
              <w:t xml:space="preserve"> with evidence of a methodical and well organised approach to work</w:t>
            </w:r>
          </w:p>
          <w:p w:rsidR="00555DA6" w:rsidRPr="003F5253" w:rsidRDefault="00555DA6" w:rsidP="00980A20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 xml:space="preserve">Ability to work in partnership with a wide range of statutory and voluntary agencies, to achieve outcomes for service users </w:t>
            </w:r>
          </w:p>
          <w:p w:rsidR="00555DA6" w:rsidRDefault="00555DA6" w:rsidP="00DB6BF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B6BF7">
              <w:rPr>
                <w:rFonts w:ascii="Arial" w:hAnsi="Arial" w:cs="Arial"/>
                <w:sz w:val="22"/>
                <w:szCs w:val="22"/>
              </w:rPr>
              <w:t xml:space="preserve">The ability to provide respectful, non-judgemental, and confidential support to </w:t>
            </w:r>
            <w:r>
              <w:rPr>
                <w:rFonts w:ascii="Arial" w:hAnsi="Arial" w:cs="Arial"/>
                <w:sz w:val="22"/>
                <w:szCs w:val="22"/>
              </w:rPr>
              <w:t>survivors</w:t>
            </w:r>
            <w:r w:rsidRPr="00DB6BF7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555DA6" w:rsidRDefault="00555DA6" w:rsidP="00DB6BF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B6BF7">
              <w:rPr>
                <w:rFonts w:ascii="Arial" w:hAnsi="Arial" w:cs="Arial"/>
                <w:sz w:val="22"/>
                <w:szCs w:val="22"/>
              </w:rPr>
              <w:t xml:space="preserve">he ability to encourage </w:t>
            </w:r>
            <w:r>
              <w:rPr>
                <w:rFonts w:ascii="Arial" w:hAnsi="Arial" w:cs="Arial"/>
                <w:sz w:val="22"/>
                <w:szCs w:val="22"/>
              </w:rPr>
              <w:t xml:space="preserve">survivors </w:t>
            </w:r>
            <w:r w:rsidRPr="00DB6BF7">
              <w:rPr>
                <w:rFonts w:ascii="Arial" w:hAnsi="Arial" w:cs="Arial"/>
                <w:sz w:val="22"/>
                <w:szCs w:val="22"/>
              </w:rPr>
              <w:t xml:space="preserve">to take control of their lives and set realistic objectives and goals.  </w:t>
            </w:r>
          </w:p>
          <w:p w:rsidR="00555DA6" w:rsidRDefault="00555DA6" w:rsidP="00DB6BF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Maintaining professional boundaries, s</w:t>
            </w:r>
            <w:r w:rsidRPr="00886BC1">
              <w:rPr>
                <w:rFonts w:ascii="Arial" w:hAnsi="Arial" w:cs="Arial"/>
                <w:sz w:val="22"/>
                <w:szCs w:val="22"/>
              </w:rPr>
              <w:t>how resilience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reliability under pressure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5DA6" w:rsidRDefault="00555DA6" w:rsidP="0060494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C006F">
              <w:rPr>
                <w:rFonts w:ascii="Arial" w:hAnsi="Arial" w:cs="Arial"/>
                <w:sz w:val="22"/>
                <w:szCs w:val="22"/>
              </w:rPr>
              <w:t xml:space="preserve">Ability to work as part of a team demonstrating a flexible approach </w:t>
            </w:r>
          </w:p>
          <w:p w:rsidR="00555DA6" w:rsidRPr="00DB6BF7" w:rsidRDefault="00555DA6" w:rsidP="0060494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Excellent level of IT literacy, operate case management systems and </w:t>
            </w:r>
            <w:r w:rsidRPr="00370211">
              <w:rPr>
                <w:rFonts w:ascii="Arial" w:hAnsi="Arial" w:cs="Arial"/>
                <w:iCs/>
                <w:sz w:val="22"/>
                <w:szCs w:val="22"/>
              </w:rPr>
              <w:t>ability to carry ou</w:t>
            </w:r>
            <w:r>
              <w:rPr>
                <w:rFonts w:ascii="Arial" w:hAnsi="Arial" w:cs="Arial"/>
                <w:iCs/>
                <w:sz w:val="22"/>
                <w:szCs w:val="22"/>
              </w:rPr>
              <w:t>t own administrative workload.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5DA6" w:rsidRPr="003F5253" w:rsidRDefault="00555DA6" w:rsidP="00980A20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with a r</w:t>
            </w:r>
            <w:r w:rsidRPr="003F5253">
              <w:rPr>
                <w:rFonts w:ascii="Arial" w:hAnsi="Arial" w:cs="Arial"/>
                <w:sz w:val="22"/>
                <w:szCs w:val="22"/>
              </w:rPr>
              <w:t>ecovery focused approach</w:t>
            </w:r>
          </w:p>
          <w:p w:rsidR="00555DA6" w:rsidRPr="003F5253" w:rsidRDefault="00555DA6" w:rsidP="0060494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apply p</w:t>
            </w:r>
            <w:r w:rsidRPr="003F5253">
              <w:rPr>
                <w:rFonts w:ascii="Arial" w:hAnsi="Arial" w:cs="Arial"/>
                <w:sz w:val="22"/>
                <w:szCs w:val="22"/>
              </w:rPr>
              <w:t>sychologically informed practice</w:t>
            </w:r>
          </w:p>
          <w:p w:rsidR="00555DA6" w:rsidRPr="003F5253" w:rsidRDefault="00555DA6" w:rsidP="00CF68F6">
            <w:pPr>
              <w:pStyle w:val="TableBullet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DA6" w:rsidRPr="003F5253" w:rsidTr="008F2FDA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A6" w:rsidRPr="003F5253" w:rsidRDefault="00555DA6" w:rsidP="002F1206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5DA6" w:rsidRDefault="00555DA6" w:rsidP="002F1206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 experience of working with women / men and children who have survived domestic abuse</w:t>
            </w:r>
          </w:p>
          <w:p w:rsidR="00555DA6" w:rsidRDefault="00555DA6" w:rsidP="002F1206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 xml:space="preserve">Experience of delivering group work and / or training </w:t>
            </w:r>
          </w:p>
          <w:p w:rsidR="00555DA6" w:rsidRDefault="00555DA6" w:rsidP="002F1206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supporting high risk victims</w:t>
            </w:r>
          </w:p>
          <w:p w:rsidR="00555DA6" w:rsidRPr="00604947" w:rsidRDefault="00555DA6" w:rsidP="0060494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working with the police, Lighthouse and MARAC</w:t>
            </w:r>
            <w:r w:rsidRPr="006049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55DA6" w:rsidRDefault="00555DA6" w:rsidP="002F1206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assess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 xml:space="preserve">risks and 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needs of vulnerable </w:t>
            </w:r>
            <w:r>
              <w:rPr>
                <w:rFonts w:ascii="Arial" w:hAnsi="Arial" w:cs="Arial"/>
                <w:sz w:val="22"/>
                <w:szCs w:val="22"/>
              </w:rPr>
              <w:t>people who have experienced domestic abuse and/or complex needs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5DA6" w:rsidRPr="00B22A7E" w:rsidRDefault="00555DA6" w:rsidP="00B22A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22A7E">
              <w:rPr>
                <w:rFonts w:ascii="Arial" w:hAnsi="Arial" w:cs="Arial"/>
                <w:sz w:val="22"/>
                <w:szCs w:val="22"/>
              </w:rPr>
              <w:t xml:space="preserve">Experience of co-producing short </w:t>
            </w:r>
            <w:r>
              <w:rPr>
                <w:rFonts w:ascii="Arial" w:hAnsi="Arial" w:cs="Arial"/>
                <w:sz w:val="22"/>
                <w:szCs w:val="22"/>
              </w:rPr>
              <w:t xml:space="preserve">and longer </w:t>
            </w:r>
            <w:r w:rsidRPr="00B22A7E">
              <w:rPr>
                <w:rFonts w:ascii="Arial" w:hAnsi="Arial" w:cs="Arial"/>
                <w:sz w:val="22"/>
                <w:szCs w:val="22"/>
              </w:rPr>
              <w:t xml:space="preserve">term risk management, safety planning and support with </w:t>
            </w:r>
            <w:r>
              <w:rPr>
                <w:rFonts w:ascii="Arial" w:hAnsi="Arial" w:cs="Arial"/>
                <w:sz w:val="22"/>
                <w:szCs w:val="22"/>
              </w:rPr>
              <w:t>survivors and their</w:t>
            </w:r>
            <w:r w:rsidRPr="00B22A7E">
              <w:rPr>
                <w:rFonts w:ascii="Arial" w:hAnsi="Arial" w:cs="Arial"/>
                <w:sz w:val="22"/>
                <w:szCs w:val="22"/>
              </w:rPr>
              <w:t xml:space="preserve"> children experiencing Domestic Abuse</w:t>
            </w:r>
          </w:p>
          <w:p w:rsidR="00555DA6" w:rsidRDefault="00555DA6" w:rsidP="002F1206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being p</w:t>
            </w:r>
            <w:r w:rsidRPr="00886BC1">
              <w:rPr>
                <w:rFonts w:ascii="Arial" w:hAnsi="Arial" w:cs="Arial"/>
                <w:sz w:val="22"/>
                <w:szCs w:val="22"/>
              </w:rPr>
              <w:t>roactive rather than reactive: focuses on preventing problems in the future rather than just resolving immediate issues</w:t>
            </w:r>
          </w:p>
          <w:p w:rsidR="00555DA6" w:rsidRPr="00B310B1" w:rsidRDefault="00555DA6" w:rsidP="0060494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22A7E">
              <w:rPr>
                <w:rFonts w:ascii="Arial" w:hAnsi="Arial" w:cs="Arial"/>
                <w:sz w:val="22"/>
                <w:szCs w:val="22"/>
              </w:rPr>
              <w:t xml:space="preserve">Experience of lone working and </w:t>
            </w:r>
            <w:r>
              <w:rPr>
                <w:rFonts w:ascii="Arial" w:hAnsi="Arial" w:cs="Arial"/>
                <w:sz w:val="22"/>
                <w:szCs w:val="22"/>
              </w:rPr>
              <w:t>able to work on own initiative.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5DA6" w:rsidRPr="00604947" w:rsidRDefault="00555DA6" w:rsidP="00604947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a hospital/health setting</w:t>
            </w:r>
          </w:p>
          <w:p w:rsidR="00555DA6" w:rsidRPr="00F8649F" w:rsidRDefault="00555DA6" w:rsidP="002F1206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8649F">
              <w:rPr>
                <w:rFonts w:ascii="Arial" w:hAnsi="Arial" w:cs="Arial"/>
                <w:sz w:val="22"/>
                <w:szCs w:val="22"/>
              </w:rPr>
              <w:t>xperience working with people with mental health needs,</w:t>
            </w:r>
            <w:r>
              <w:rPr>
                <w:rFonts w:ascii="Arial" w:hAnsi="Arial" w:cs="Arial"/>
                <w:sz w:val="22"/>
                <w:szCs w:val="22"/>
              </w:rPr>
              <w:t xml:space="preserve"> substance misuse , other</w:t>
            </w:r>
            <w:r w:rsidRPr="00F8649F">
              <w:rPr>
                <w:rFonts w:ascii="Arial" w:hAnsi="Arial" w:cs="Arial"/>
                <w:sz w:val="22"/>
                <w:szCs w:val="22"/>
              </w:rPr>
              <w:t xml:space="preserve"> complex needs</w:t>
            </w:r>
          </w:p>
          <w:p w:rsidR="00555DA6" w:rsidRPr="003F5253" w:rsidRDefault="00555DA6" w:rsidP="00B310B1">
            <w:pPr>
              <w:pStyle w:val="TableBullet"/>
              <w:tabs>
                <w:tab w:val="num" w:pos="170"/>
              </w:tabs>
              <w:ind w:left="170" w:hanging="170"/>
              <w:rPr>
                <w:rFonts w:ascii="Arial" w:hAnsi="Arial" w:cs="Arial"/>
                <w:sz w:val="22"/>
                <w:szCs w:val="22"/>
              </w:rPr>
            </w:pPr>
          </w:p>
          <w:p w:rsidR="00555DA6" w:rsidRPr="003F5253" w:rsidRDefault="00555DA6" w:rsidP="00B310B1">
            <w:pPr>
              <w:pStyle w:val="TableBullet"/>
              <w:tabs>
                <w:tab w:val="num" w:pos="170"/>
              </w:tabs>
              <w:ind w:left="170" w:hanging="1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DA6" w:rsidRPr="003F5253" w:rsidTr="008F2FDA">
        <w:trPr>
          <w:cantSplit/>
          <w:trHeight w:val="11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A6" w:rsidRPr="003F5253" w:rsidRDefault="00555DA6" w:rsidP="00CF68F6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lastRenderedPageBreak/>
              <w:t>Knowledge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5DA6" w:rsidRPr="002C1F1B" w:rsidRDefault="00555DA6" w:rsidP="002C1F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C1F1B">
              <w:rPr>
                <w:rFonts w:ascii="Arial" w:hAnsi="Arial" w:cs="Arial"/>
                <w:sz w:val="22"/>
                <w:szCs w:val="22"/>
              </w:rPr>
              <w:t>Knowledge of criminal and civil legal remedies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housing law</w:t>
            </w:r>
            <w:r w:rsidRPr="002C1F1B">
              <w:rPr>
                <w:rFonts w:ascii="Arial" w:hAnsi="Arial" w:cs="Arial"/>
                <w:sz w:val="22"/>
                <w:szCs w:val="22"/>
              </w:rPr>
              <w:t xml:space="preserve"> relating to domestic abuse </w:t>
            </w:r>
          </w:p>
          <w:p w:rsidR="00555DA6" w:rsidRPr="00033C45" w:rsidRDefault="00555DA6" w:rsidP="00033C45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Domestic Abuse risk assessment tools including DASH</w:t>
            </w:r>
            <w:r w:rsidRPr="00033C4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 xml:space="preserve">extensive understanding of </w:t>
            </w:r>
            <w:r w:rsidRPr="00033C45">
              <w:rPr>
                <w:rFonts w:ascii="Arial" w:hAnsi="Arial" w:cs="Arial"/>
                <w:sz w:val="22"/>
                <w:szCs w:val="22"/>
              </w:rPr>
              <w:t>the MARAC process</w:t>
            </w:r>
          </w:p>
          <w:p w:rsidR="00555DA6" w:rsidRPr="003F5253" w:rsidRDefault="00555DA6" w:rsidP="00980A20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health and safety issues specific to survivors fleeing domestic abuse and lone working</w:t>
            </w:r>
          </w:p>
          <w:p w:rsidR="00555DA6" w:rsidRPr="003F5253" w:rsidRDefault="00555DA6" w:rsidP="00980A20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A thorough understanding of safeguarding</w:t>
            </w:r>
            <w:r w:rsidRPr="002F1B00">
              <w:rPr>
                <w:rFonts w:ascii="Arial" w:hAnsi="Arial" w:cs="Arial"/>
                <w:sz w:val="22"/>
                <w:szCs w:val="22"/>
              </w:rPr>
              <w:t xml:space="preserve"> relating to vulnerable adults and children, 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 including how and when to report concerns </w:t>
            </w:r>
          </w:p>
          <w:p w:rsidR="00555DA6" w:rsidRPr="002C1F1B" w:rsidRDefault="00555DA6" w:rsidP="002C1F1B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Up to date knowledge of the welfare benefits system and the ability to ensure service users maximise their benefit entitlement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5DA6" w:rsidRPr="003F5253" w:rsidRDefault="00555DA6" w:rsidP="00604947">
            <w:pPr>
              <w:pStyle w:val="TableBullet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DA6" w:rsidRPr="003F5253" w:rsidTr="008F2FDA">
        <w:trPr>
          <w:cantSplit/>
          <w:trHeight w:val="9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A6" w:rsidRPr="003F5253" w:rsidRDefault="00555DA6" w:rsidP="00CF68F6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Values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55DA6" w:rsidRDefault="00555DA6" w:rsidP="00980A20">
            <w:pPr>
              <w:pStyle w:val="TableBulle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commitment to the Victim’s Code of Practice</w:t>
            </w:r>
          </w:p>
          <w:p w:rsidR="00555DA6" w:rsidRPr="003F5253" w:rsidRDefault="00555DA6" w:rsidP="00980A20">
            <w:pPr>
              <w:pStyle w:val="TableBulle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Commitment to diversity and equal opportunities at work</w:t>
            </w:r>
          </w:p>
          <w:p w:rsidR="00555DA6" w:rsidRPr="00B310B1" w:rsidRDefault="00555DA6" w:rsidP="00B310B1">
            <w:pPr>
              <w:pStyle w:val="TableBulle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Commitment to service user participation and involvement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5DA6" w:rsidRPr="003F5253" w:rsidRDefault="00555DA6" w:rsidP="00CF68F6">
            <w:pPr>
              <w:pStyle w:val="TableBulle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5DA6" w:rsidRPr="003F5253" w:rsidTr="008F2FDA">
        <w:trPr>
          <w:cantSplit/>
          <w:trHeight w:val="2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A6" w:rsidRPr="003F5253" w:rsidRDefault="00555DA6" w:rsidP="00CF68F6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5DA6" w:rsidRPr="006926E7" w:rsidRDefault="00555DA6" w:rsidP="00980A20">
            <w:pPr>
              <w:pStyle w:val="TableBullet"/>
              <w:numPr>
                <w:ilvl w:val="0"/>
                <w:numId w:val="3"/>
              </w:numPr>
              <w:ind w:left="177" w:hanging="142"/>
              <w:rPr>
                <w:rFonts w:ascii="Arial" w:hAnsi="Arial" w:cs="Arial"/>
                <w:sz w:val="22"/>
                <w:szCs w:val="22"/>
              </w:rPr>
            </w:pPr>
            <w:r w:rsidRPr="006926E7">
              <w:rPr>
                <w:rFonts w:ascii="Arial" w:hAnsi="Arial" w:cs="Arial"/>
                <w:sz w:val="22"/>
                <w:szCs w:val="22"/>
              </w:rPr>
              <w:t xml:space="preserve">Be available and committed to be part of the out of hours on call rota and work </w:t>
            </w:r>
            <w:r>
              <w:rPr>
                <w:rFonts w:ascii="Arial" w:hAnsi="Arial" w:cs="Arial"/>
                <w:sz w:val="22"/>
                <w:szCs w:val="22"/>
              </w:rPr>
              <w:t>flexibly including some Saturday mornings on a rota basis</w:t>
            </w:r>
          </w:p>
          <w:p w:rsidR="00555DA6" w:rsidRPr="003F5253" w:rsidRDefault="00555DA6" w:rsidP="00980A20">
            <w:pPr>
              <w:pStyle w:val="TableBullet"/>
              <w:numPr>
                <w:ilvl w:val="0"/>
                <w:numId w:val="3"/>
              </w:numPr>
              <w:ind w:left="177" w:hanging="142"/>
              <w:rPr>
                <w:rFonts w:ascii="Arial" w:hAnsi="Arial" w:cs="Arial"/>
                <w:sz w:val="22"/>
                <w:szCs w:val="22"/>
              </w:rPr>
            </w:pPr>
            <w:r w:rsidRPr="003F5253">
              <w:rPr>
                <w:rFonts w:ascii="Arial" w:hAnsi="Arial" w:cs="Arial"/>
                <w:sz w:val="22"/>
                <w:szCs w:val="22"/>
              </w:rPr>
              <w:t>A current, full driving licence and access to appropriate motorised transport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55DA6" w:rsidRPr="003F5253" w:rsidRDefault="00555DA6" w:rsidP="00CF68F6">
            <w:pPr>
              <w:pStyle w:val="TableBullet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0A20" w:rsidRDefault="00980A20" w:rsidP="00980A20"/>
    <w:p w:rsidR="00B955F6" w:rsidRPr="0080294C" w:rsidRDefault="00B955F6" w:rsidP="00B955F6">
      <w:pPr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Next </w:t>
      </w:r>
      <w:r w:rsidRPr="00664B3A">
        <w:rPr>
          <w:rFonts w:asciiTheme="minorHAnsi" w:hAnsiTheme="minorHAnsi"/>
          <w:i/>
          <w:sz w:val="18"/>
          <w:szCs w:val="18"/>
        </w:rPr>
        <w:t>Link is committed to safeguarding and promoting the welfare of children, young people and adults at risk of abuse, and expects all staff and volun</w:t>
      </w:r>
      <w:r>
        <w:rPr>
          <w:rFonts w:asciiTheme="minorHAnsi" w:hAnsiTheme="minorHAnsi"/>
          <w:i/>
          <w:sz w:val="18"/>
          <w:szCs w:val="18"/>
        </w:rPr>
        <w:t xml:space="preserve">teers to share this commitment. Next </w:t>
      </w:r>
      <w:r w:rsidRPr="00664B3A">
        <w:rPr>
          <w:rFonts w:asciiTheme="minorHAnsi" w:hAnsiTheme="minorHAnsi"/>
          <w:i/>
          <w:sz w:val="18"/>
          <w:szCs w:val="18"/>
        </w:rPr>
        <w:t>Link is com</w:t>
      </w:r>
      <w:r>
        <w:rPr>
          <w:rFonts w:asciiTheme="minorHAnsi" w:hAnsiTheme="minorHAnsi"/>
          <w:i/>
          <w:sz w:val="18"/>
          <w:szCs w:val="18"/>
        </w:rPr>
        <w:t xml:space="preserve">mitted to Equal Opportunities. </w:t>
      </w:r>
      <w:r w:rsidRPr="0080294C">
        <w:rPr>
          <w:rFonts w:asciiTheme="minorHAnsi" w:hAnsiTheme="minorHAnsi"/>
          <w:i/>
          <w:sz w:val="18"/>
          <w:szCs w:val="18"/>
        </w:rPr>
        <w:t>*Due to the specific requirements of this role, this post is exempt under the Equality Act (2010), Part 1, Schedule 9 (Genuine Occupational Requirement)</w:t>
      </w:r>
    </w:p>
    <w:p w:rsidR="00980A20" w:rsidRDefault="00980A20" w:rsidP="00980A20"/>
    <w:p w:rsidR="009148C4" w:rsidRDefault="009148C4"/>
    <w:sectPr w:rsidR="009148C4" w:rsidSect="008F2FDA">
      <w:footerReference w:type="default" r:id="rId8"/>
      <w:pgSz w:w="16838" w:h="11906" w:orient="landscape"/>
      <w:pgMar w:top="28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2E" w:rsidRDefault="00FF522E" w:rsidP="001A3F1B">
      <w:r>
        <w:separator/>
      </w:r>
    </w:p>
  </w:endnote>
  <w:endnote w:type="continuationSeparator" w:id="0">
    <w:p w:rsidR="00FF522E" w:rsidRDefault="00FF522E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C1" w:rsidRDefault="007E0AE5">
    <w:pPr>
      <w:pStyle w:val="Footer"/>
    </w:pPr>
    <w:fldSimple w:instr=" FILENAME  \p  \* MERGEFORMAT ">
      <w:r w:rsidR="009E7D7A">
        <w:rPr>
          <w:noProof/>
        </w:rPr>
        <w:t>X:\Clare P\Recruitment\Job Descriptions\South Glos\NL South Glos Hospital based IDSVA PS.docx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2E" w:rsidRDefault="00FF522E" w:rsidP="001A3F1B">
      <w:r>
        <w:separator/>
      </w:r>
    </w:p>
  </w:footnote>
  <w:footnote w:type="continuationSeparator" w:id="0">
    <w:p w:rsidR="00FF522E" w:rsidRDefault="00FF522E" w:rsidP="001A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EEA"/>
    <w:multiLevelType w:val="hybridMultilevel"/>
    <w:tmpl w:val="E588514C"/>
    <w:lvl w:ilvl="0" w:tplc="88AA78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88AA7894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6968"/>
    <w:multiLevelType w:val="hybridMultilevel"/>
    <w:tmpl w:val="F8D8022C"/>
    <w:lvl w:ilvl="0" w:tplc="5CDE38EE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52811"/>
    <w:multiLevelType w:val="hybridMultilevel"/>
    <w:tmpl w:val="4B383C28"/>
    <w:lvl w:ilvl="0" w:tplc="FDC40E8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5D80"/>
    <w:multiLevelType w:val="hybridMultilevel"/>
    <w:tmpl w:val="950ED55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41551B4"/>
    <w:multiLevelType w:val="hybridMultilevel"/>
    <w:tmpl w:val="65A4D250"/>
    <w:lvl w:ilvl="0" w:tplc="AF2EF8D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A20"/>
    <w:rsid w:val="00033C45"/>
    <w:rsid w:val="000C006F"/>
    <w:rsid w:val="00142707"/>
    <w:rsid w:val="001A3F1B"/>
    <w:rsid w:val="002666EB"/>
    <w:rsid w:val="00297D48"/>
    <w:rsid w:val="002A4103"/>
    <w:rsid w:val="002C1F1B"/>
    <w:rsid w:val="00387AA9"/>
    <w:rsid w:val="003C4899"/>
    <w:rsid w:val="00424C46"/>
    <w:rsid w:val="00463D9B"/>
    <w:rsid w:val="00485A36"/>
    <w:rsid w:val="005168E1"/>
    <w:rsid w:val="00555DA6"/>
    <w:rsid w:val="005C4FF2"/>
    <w:rsid w:val="00604947"/>
    <w:rsid w:val="0062411A"/>
    <w:rsid w:val="006926E7"/>
    <w:rsid w:val="00706EF3"/>
    <w:rsid w:val="00721E4B"/>
    <w:rsid w:val="007E0AE5"/>
    <w:rsid w:val="007E35DA"/>
    <w:rsid w:val="00871D84"/>
    <w:rsid w:val="008C0199"/>
    <w:rsid w:val="008F2FDA"/>
    <w:rsid w:val="009148C4"/>
    <w:rsid w:val="00980A20"/>
    <w:rsid w:val="009E7D7A"/>
    <w:rsid w:val="00AB2686"/>
    <w:rsid w:val="00AD5CF5"/>
    <w:rsid w:val="00B22A7E"/>
    <w:rsid w:val="00B310B1"/>
    <w:rsid w:val="00B955F6"/>
    <w:rsid w:val="00C66D87"/>
    <w:rsid w:val="00DB6BF7"/>
    <w:rsid w:val="00E22B54"/>
    <w:rsid w:val="00E27742"/>
    <w:rsid w:val="00E40CD1"/>
    <w:rsid w:val="00F5323D"/>
    <w:rsid w:val="00F8649F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27895E"/>
  <w15:docId w15:val="{2BF5974D-B981-4937-8BE1-6A8E4E9D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980A20"/>
    <w:rPr>
      <w:sz w:val="24"/>
      <w:szCs w:val="24"/>
    </w:rPr>
  </w:style>
  <w:style w:type="paragraph" w:customStyle="1" w:styleId="TableBullet">
    <w:name w:val="Table Bullet"/>
    <w:basedOn w:val="Normal"/>
    <w:rsid w:val="00980A20"/>
    <w:pPr>
      <w:ind w:left="144" w:hanging="144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980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A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80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A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2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A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Missing Link Ltd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O'Leary</dc:creator>
  <cp:lastModifiedBy>Jane Stewart</cp:lastModifiedBy>
  <cp:revision>7</cp:revision>
  <cp:lastPrinted>2016-06-20T09:06:00Z</cp:lastPrinted>
  <dcterms:created xsi:type="dcterms:W3CDTF">2017-06-12T15:10:00Z</dcterms:created>
  <dcterms:modified xsi:type="dcterms:W3CDTF">2024-07-03T11:43:00Z</dcterms:modified>
</cp:coreProperties>
</file>